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2 do SWZ</w:t>
      </w:r>
    </w:p>
    <w:p>
      <w:pPr>
        <w:pStyle w:val="Normal"/>
        <w:bidi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ZP/05/21/TP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Specyfikacja techniczna rejestratora holterowskiego RR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9376" w:type="dxa"/>
        <w:jc w:val="left"/>
        <w:tblInd w:w="-1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037"/>
        <w:gridCol w:w="3130"/>
        <w:gridCol w:w="3209"/>
      </w:tblGrid>
      <w:tr>
        <w:trPr>
          <w:trHeight w:val="510" w:hRule="atLeast"/>
        </w:trPr>
        <w:tc>
          <w:tcPr>
            <w:tcW w:w="6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Rejestrator holterowski RR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</w:rPr>
              <w:t>4 sztuki</w:t>
            </w:r>
            <w:r>
              <w:rPr>
                <w:b/>
                <w:bCs/>
              </w:rPr>
              <w:t>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Wypełnia Wykonawca</w:t>
            </w:r>
          </w:p>
        </w:tc>
      </w:tr>
      <w:tr>
        <w:trPr/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Producent 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Model/Typ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podać 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Kraj pochodzenia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podać 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328" w:type="dxa"/>
        <w:jc w:val="left"/>
        <w:tblInd w:w="-1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9"/>
        <w:gridCol w:w="4311"/>
        <w:gridCol w:w="1819"/>
        <w:gridCol w:w="2578"/>
      </w:tblGrid>
      <w:tr>
        <w:trPr/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Parametry wymagane aparatu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Warunek wymagany TAK/NIE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Parametr oferowany przez Wykonawcę 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(należy podać)</w:t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7" w:before="20" w:after="0"/>
              <w:jc w:val="both"/>
              <w:rPr/>
            </w:pPr>
            <w:r>
              <w:rPr>
                <w:rStyle w:val="Domylnaczcionkaakapitu"/>
                <w:rFonts w:eastAsia="Arial"/>
                <w:sz w:val="20"/>
                <w:szCs w:val="20"/>
              </w:rPr>
              <w:t xml:space="preserve">Rejestrator Holterowski RR </w:t>
            </w:r>
            <w:r>
              <w:rPr>
                <w:rStyle w:val="Uwydatnienie"/>
                <w:i w:val="false"/>
                <w:iCs w:val="false"/>
                <w:sz w:val="20"/>
                <w:szCs w:val="20"/>
              </w:rPr>
              <w:t>kompatybilny</w:t>
            </w:r>
            <w:r>
              <w:rPr>
                <w:rStyle w:val="Domylnaczcionkaakapitu"/>
                <w:rFonts w:eastAsia="Arial"/>
                <w:sz w:val="20"/>
                <w:szCs w:val="20"/>
              </w:rPr>
              <w:t xml:space="preserve"> z istniejącym oprogramowaniem HolCard CR 7 wersja 3.20.10 z 2019 r.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7" w:before="2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7" w:before="20" w:after="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Zakres mierzonego ciśnienia 0-300 mm Hg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7" w:before="2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7" w:before="2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 dobieranie ciśnienia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7" w:before="2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7" w:before="2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częstości rytmu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7" w:before="2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7" w:before="2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podziału okresu badan na min. 5 podokresów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7" w:before="2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7" w:before="2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wyświetlania na ekranie zmierzonych wartości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7" w:before="2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7" w:before="2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Wykrywanie błędnych pomiarów oraz powtórka pomiaru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7" w:before="2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7" w:before="2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Kabel łączący komputer z rejestratorem w zestawie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7" w:before="2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7" w:before="2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na żądanie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7" w:before="2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Metoda pomiaru oscylometryczna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4xAA baterie lub akumulatory</w:t>
            </w:r>
          </w:p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(do tygodnia pracy lub 500 badań)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Kabel łączący komputer  z rejestratorem w zestawie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Wewnętrzny zegar czasu rzeczywistego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Wyświetlacz LCD, bezpośredni odczyt ostatniego badania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Sygnalizacja obniżenia napięcia baterii (akumulatorów)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Klawiatura funkcyjna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>
                <w:rStyle w:val="Domylnaczcionkaakapitu"/>
                <w:sz w:val="20"/>
                <w:szCs w:val="20"/>
              </w:rPr>
              <w:t xml:space="preserve">Mankiet miękki, wykonany z wytrzymałego materiału, łatwy do zamontowania, nieodparzający możliwość  prania w temp. </w:t>
            </w:r>
            <w:r>
              <w:rPr/>
              <w:t>30°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525" w:type="dxa"/>
        <w:jc w:val="left"/>
        <w:tblInd w:w="-162" w:type="dxa"/>
        <w:tblLayout w:type="fixed"/>
        <w:tblCellMar>
          <w:top w:w="57" w:type="dxa"/>
          <w:left w:w="70" w:type="dxa"/>
          <w:bottom w:w="57" w:type="dxa"/>
          <w:right w:w="70" w:type="dxa"/>
        </w:tblCellMar>
      </w:tblPr>
      <w:tblGrid>
        <w:gridCol w:w="778"/>
        <w:gridCol w:w="4210"/>
        <w:gridCol w:w="1817"/>
        <w:gridCol w:w="2719"/>
      </w:tblGrid>
      <w:tr>
        <w:trPr/>
        <w:tc>
          <w:tcPr>
            <w:tcW w:w="9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5E5E5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Warunki gwarancji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57" w:right="0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Gwarancja – kryterium podlegające ocenie:</w:t>
            </w:r>
          </w:p>
          <w:p>
            <w:pPr>
              <w:pStyle w:val="Normal"/>
              <w:widowControl w:val="false"/>
              <w:bidi w:val="0"/>
              <w:snapToGrid w:val="false"/>
              <w:ind w:left="57" w:right="0" w:hanging="0"/>
              <w:jc w:val="left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 miesiące – 0 pkt</w:t>
            </w:r>
          </w:p>
          <w:p>
            <w:pPr>
              <w:pStyle w:val="Normal"/>
              <w:widowControl w:val="false"/>
              <w:bidi w:val="0"/>
              <w:snapToGrid w:val="false"/>
              <w:ind w:left="57" w:right="0" w:hanging="0"/>
              <w:jc w:val="left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od 25 do 36 miesięcy włącznie – 10 pkt</w:t>
            </w:r>
          </w:p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od 37 miesięcy i więcej – 20 pkt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Podać</w:t>
              <w:br/>
              <w:t>(w miesiącach)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Podjęcie czynności serwisowych, naprawczych aparatu: nie później niż w ciągu 24 godzin od momentu zgłoszenia awarii.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w ramach wynagrodzenia umownego zobowiązany jest świadczyć serwis w okresie trwania gwarancji, przez który należy w szczególności rozumieć: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8" w:leader="none"/>
              </w:tabs>
              <w:suppressAutoHyphens w:val="true"/>
              <w:bidi w:val="0"/>
              <w:snapToGrid w:val="false"/>
              <w:ind w:left="340" w:right="0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planowej technicznej obsługi serwisowej zgodnie z zaleceniami producenta, jednak nie rzadziej niż raz na 12 miesięcy (w tym z wymianą pakietów serwisowych bądź części zalecanych przez producenta),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565" w:leader="none"/>
              </w:tabs>
              <w:bidi w:val="0"/>
              <w:snapToGrid w:val="false"/>
              <w:ind w:left="340" w:right="0" w:hanging="28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modyfikacji ustawień,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565" w:leader="none"/>
              </w:tabs>
              <w:bidi w:val="0"/>
              <w:snapToGrid w:val="false"/>
              <w:ind w:left="340" w:right="0" w:hanging="28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ekspertyz stanu technicznego,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565" w:leader="none"/>
              </w:tabs>
              <w:bidi w:val="0"/>
              <w:snapToGrid w:val="false"/>
              <w:ind w:left="340" w:right="0" w:hanging="28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dojazd serwisu do siedziby Zamawiającego.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bidi w:val="0"/>
              <w:snapToGrid w:val="false"/>
              <w:spacing w:before="0" w:after="1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bidi w:val="0"/>
              <w:snapToGrid w:val="false"/>
              <w:spacing w:before="0" w:after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Usunięcie awarii: w ciągu 48 godzin od przystąpienia do czynności serwisowych, naprawczych.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bidi w:val="0"/>
              <w:snapToGrid w:val="false"/>
              <w:spacing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Western"/>
              <w:widowControl w:val="false"/>
              <w:bidi w:val="0"/>
              <w:spacing w:lineRule="auto" w:line="240" w:before="0" w:after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razie naprawy aparatu przedłużającej się powyżej 48 godzin zapewnienie Zamawiającemu aparatu zastępczego o parametrach nie gorszych niż wymagane.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bidi w:val="0"/>
              <w:snapToGrid w:val="false"/>
              <w:spacing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bidi w:val="0"/>
              <w:snapToGrid w:val="fals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wypadku 3 trzech napraw tego samego podzespołu aparatu w okresie gwarancji wymiana aparatu na nowy.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bidi w:val="0"/>
              <w:snapToGrid w:val="false"/>
              <w:spacing w:before="0" w:after="0"/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bidi w:val="0"/>
              <w:snapToGrid w:val="false"/>
              <w:spacing w:before="0" w:after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 przeglądy w 12. i 24. miesiącu użytkowania – w cenie oferty.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bidi w:val="0"/>
              <w:snapToGrid w:val="false"/>
              <w:spacing w:before="0" w:after="0"/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bidi w:val="0"/>
              <w:snapToGrid w:val="false"/>
              <w:spacing w:before="0" w:after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Serwis pogwarancyjny na terenie Polski.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bidi w:val="0"/>
              <w:snapToGrid w:val="false"/>
              <w:spacing w:before="0" w:after="0"/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bidi w:val="0"/>
              <w:snapToGrid w:val="false"/>
              <w:spacing w:before="0" w:after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Certyfikaty i inne dokumenty dopuszczające aparaturę i sprzęt do użytkowania na terenie Polski i UE wymagane obowiązującymi przepisami prawa, takie jak: atesty, certyfikaty CE, deklaracje zgodności - zgodnie z ustawą z dnia 20 maja 2010 r. o wyrobach medycznych </w:t>
              <w:br/>
              <w:t>(Dz. U. z 2021 r. poz. 1565).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dołączyć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Uwydatnienie">
    <w:name w:val="Uwydatnienie"/>
    <w:qFormat/>
    <w:rPr>
      <w:i/>
      <w:iCs/>
    </w:rPr>
  </w:style>
  <w:style w:type="character" w:styleId="WW8Num2z0">
    <w:name w:val="WW8Num2z0"/>
    <w:qFormat/>
    <w:rPr>
      <w:rFonts w:ascii="Symbol" w:hAnsi="Symbol" w:cs="OpenSymbol;Arial Unicode MS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>
    <w:name w:val="western"/>
    <w:basedOn w:val="Normal"/>
    <w:qFormat/>
    <w:pPr>
      <w:suppressAutoHyphens w:val="false"/>
      <w:spacing w:lineRule="auto" w:line="288" w:before="280" w:after="142"/>
    </w:pPr>
    <w:rPr>
      <w:color w:val="000000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LibreOffice/7.0.3.1$Windows_X86_64 LibreOffice_project/d7547858d014d4cf69878db179d326fc3483e082</Application>
  <Pages>2</Pages>
  <Words>426</Words>
  <Characters>2483</Characters>
  <CharactersWithSpaces>2806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2021-10-25T14:54:06Z</dcterms:created>
  <dc:creator/>
  <dc:description/>
  <dc:language>pl-PL</dc:language>
  <cp:lastModifiedBy/>
  <dcterms:modified xsi:type="dcterms:W3CDTF">2021-10-25T18:14:34Z</dcterms:modified>
  <cp:revision>4</cp:revision>
  <dc:subject/>
  <dc:title/>
</cp:coreProperties>
</file>